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2450" w14:textId="55C1944D" w:rsidR="00782130" w:rsidRDefault="00594D01">
      <w:pPr>
        <w:spacing w:after="0"/>
        <w:ind w:left="87"/>
        <w:jc w:val="center"/>
      </w:pPr>
      <w:r>
        <w:rPr>
          <w:rFonts w:ascii="Arial" w:eastAsia="Arial" w:hAnsi="Arial" w:cs="Arial"/>
          <w:b/>
          <w:sz w:val="48"/>
        </w:rPr>
        <w:t>Molkenproteinisolat 90%</w:t>
      </w:r>
    </w:p>
    <w:p w14:paraId="1007F5FF" w14:textId="77777777" w:rsidR="00782130" w:rsidRDefault="00000000">
      <w:pPr>
        <w:spacing w:after="0" w:line="248" w:lineRule="auto"/>
        <w:ind w:left="3214" w:right="3136"/>
        <w:jc w:val="center"/>
      </w:pPr>
      <w:r>
        <w:rPr>
          <w:rFonts w:ascii="Arial" w:eastAsia="Arial" w:hAnsi="Arial" w:cs="Arial"/>
          <w:sz w:val="28"/>
        </w:rPr>
        <w:t xml:space="preserve">Funktionelles Milchprotein </w:t>
      </w:r>
      <w:r>
        <w:rPr>
          <w:rFonts w:ascii="Arial" w:eastAsia="Arial" w:hAnsi="Arial" w:cs="Arial"/>
          <w:sz w:val="24"/>
        </w:rPr>
        <w:t>9793</w:t>
      </w:r>
    </w:p>
    <w:p w14:paraId="1C74DE74" w14:textId="77777777" w:rsidR="00782130" w:rsidRDefault="00000000">
      <w:pPr>
        <w:spacing w:after="380"/>
      </w:pPr>
      <w:r>
        <w:rPr>
          <w:noProof/>
        </w:rPr>
        <mc:AlternateContent>
          <mc:Choice Requires="wpg">
            <w:drawing>
              <wp:inline distT="0" distB="0" distL="0" distR="0" wp14:anchorId="106C726A" wp14:editId="2B6E096D">
                <wp:extent cx="5760719" cy="11430"/>
                <wp:effectExtent l="0" t="0" r="0" b="0"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19" cy="11430"/>
                          <a:chOff x="0" y="0"/>
                          <a:chExt cx="5760719" cy="1143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760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19">
                                <a:moveTo>
                                  <a:pt x="0" y="0"/>
                                </a:moveTo>
                                <a:lnTo>
                                  <a:pt x="5760719" y="0"/>
                                </a:lnTo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" style="width:453.6pt;height:0.9pt;mso-position-horizontal-relative:char;mso-position-vertical-relative:line" coordsize="57607,114">
                <v:shape id="Shape 23" style="position:absolute;width:57607;height:0;left:0;top:0;" coordsize="5760719,0" path="m0,0l5760719,0">
                  <v:stroke weight="0.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86BF10" w14:textId="77777777" w:rsidR="00782130" w:rsidRDefault="00000000">
      <w:pPr>
        <w:spacing w:after="258"/>
        <w:ind w:left="-5" w:hanging="10"/>
      </w:pPr>
      <w:r>
        <w:rPr>
          <w:rFonts w:ascii="Arial" w:eastAsia="Arial" w:hAnsi="Arial" w:cs="Arial"/>
          <w:b/>
          <w:sz w:val="20"/>
        </w:rPr>
        <w:t>Spezifikation</w:t>
      </w:r>
    </w:p>
    <w:p w14:paraId="2E5CA81F" w14:textId="27AC0D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Chemisch</w:t>
      </w:r>
    </w:p>
    <w:p w14:paraId="33AA88E6" w14:textId="77777777" w:rsidR="00782130" w:rsidRDefault="00000000">
      <w:pPr>
        <w:tabs>
          <w:tab w:val="center" w:pos="3835"/>
          <w:tab w:val="center" w:pos="7715"/>
        </w:tabs>
      </w:pPr>
      <w:r>
        <w:rPr>
          <w:rFonts w:ascii="Arial" w:eastAsia="Arial" w:hAnsi="Arial" w:cs="Arial"/>
          <w:sz w:val="18"/>
        </w:rPr>
        <w:t xml:space="preserve">Protein </w:t>
      </w:r>
      <w:proofErr w:type="spellStart"/>
      <w:proofErr w:type="gramStart"/>
      <w:r>
        <w:rPr>
          <w:rFonts w:ascii="Arial" w:eastAsia="Arial" w:hAnsi="Arial" w:cs="Arial"/>
          <w:sz w:val="18"/>
        </w:rPr>
        <w:t>i.Tr</w:t>
      </w:r>
      <w:proofErr w:type="spellEnd"/>
      <w:r>
        <w:rPr>
          <w:rFonts w:ascii="Arial" w:eastAsia="Arial" w:hAnsi="Arial" w:cs="Arial"/>
          <w:sz w:val="18"/>
        </w:rPr>
        <w:t>.(</w:t>
      </w:r>
      <w:proofErr w:type="gramEnd"/>
      <w:r>
        <w:rPr>
          <w:rFonts w:ascii="Arial" w:eastAsia="Arial" w:hAnsi="Arial" w:cs="Arial"/>
          <w:sz w:val="18"/>
        </w:rPr>
        <w:t>Nx6,38)</w:t>
      </w:r>
      <w:r>
        <w:rPr>
          <w:rFonts w:ascii="Arial" w:eastAsia="Arial" w:hAnsi="Arial" w:cs="Arial"/>
          <w:sz w:val="18"/>
        </w:rPr>
        <w:tab/>
        <w:t>min. 90,0 %</w:t>
      </w:r>
      <w:r>
        <w:rPr>
          <w:rFonts w:ascii="Arial" w:eastAsia="Arial" w:hAnsi="Arial" w:cs="Arial"/>
          <w:sz w:val="18"/>
        </w:rPr>
        <w:tab/>
        <w:t>VDLUFA C 30.2 und C 35.6/berechnet</w:t>
      </w:r>
    </w:p>
    <w:p w14:paraId="3052BF04" w14:textId="77777777" w:rsidR="00782130" w:rsidRDefault="00000000">
      <w:pPr>
        <w:tabs>
          <w:tab w:val="center" w:pos="3810"/>
          <w:tab w:val="center" w:pos="6900"/>
        </w:tabs>
      </w:pPr>
      <w:r>
        <w:rPr>
          <w:rFonts w:ascii="Arial" w:eastAsia="Arial" w:hAnsi="Arial" w:cs="Arial"/>
          <w:sz w:val="18"/>
        </w:rPr>
        <w:t>Fett</w:t>
      </w:r>
      <w:r>
        <w:rPr>
          <w:rFonts w:ascii="Arial" w:eastAsia="Arial" w:hAnsi="Arial" w:cs="Arial"/>
          <w:sz w:val="18"/>
        </w:rPr>
        <w:tab/>
        <w:t>max. 1,5 %</w:t>
      </w:r>
      <w:r>
        <w:rPr>
          <w:rFonts w:ascii="Arial" w:eastAsia="Arial" w:hAnsi="Arial" w:cs="Arial"/>
          <w:sz w:val="18"/>
        </w:rPr>
        <w:tab/>
        <w:t>VDLUFA C 15.2.1</w:t>
      </w:r>
    </w:p>
    <w:p w14:paraId="7176BFA9" w14:textId="77777777" w:rsidR="00782130" w:rsidRDefault="00000000">
      <w:pPr>
        <w:tabs>
          <w:tab w:val="center" w:pos="3810"/>
          <w:tab w:val="center" w:pos="6825"/>
        </w:tabs>
      </w:pPr>
      <w:r>
        <w:rPr>
          <w:rFonts w:ascii="Arial" w:eastAsia="Arial" w:hAnsi="Arial" w:cs="Arial"/>
          <w:sz w:val="18"/>
        </w:rPr>
        <w:t>Asche (825°C)</w:t>
      </w:r>
      <w:r>
        <w:rPr>
          <w:rFonts w:ascii="Arial" w:eastAsia="Arial" w:hAnsi="Arial" w:cs="Arial"/>
          <w:sz w:val="18"/>
        </w:rPr>
        <w:tab/>
        <w:t>max. 5,0 %</w:t>
      </w:r>
      <w:r>
        <w:rPr>
          <w:rFonts w:ascii="Arial" w:eastAsia="Arial" w:hAnsi="Arial" w:cs="Arial"/>
          <w:sz w:val="18"/>
        </w:rPr>
        <w:tab/>
        <w:t>VDLUFA C 10.2</w:t>
      </w:r>
    </w:p>
    <w:p w14:paraId="73A3B3F9" w14:textId="77777777" w:rsidR="00782130" w:rsidRDefault="00000000">
      <w:pPr>
        <w:tabs>
          <w:tab w:val="center" w:pos="3810"/>
          <w:tab w:val="center" w:pos="6825"/>
        </w:tabs>
      </w:pPr>
      <w:r>
        <w:rPr>
          <w:rFonts w:ascii="Arial" w:eastAsia="Arial" w:hAnsi="Arial" w:cs="Arial"/>
          <w:sz w:val="18"/>
        </w:rPr>
        <w:t>Wasser (102°C)</w:t>
      </w:r>
      <w:r>
        <w:rPr>
          <w:rFonts w:ascii="Arial" w:eastAsia="Arial" w:hAnsi="Arial" w:cs="Arial"/>
          <w:sz w:val="18"/>
        </w:rPr>
        <w:tab/>
        <w:t>max. 5,0 %</w:t>
      </w:r>
      <w:r>
        <w:rPr>
          <w:rFonts w:ascii="Arial" w:eastAsia="Arial" w:hAnsi="Arial" w:cs="Arial"/>
          <w:sz w:val="18"/>
        </w:rPr>
        <w:tab/>
        <w:t>VDLUFA C 35.6</w:t>
      </w:r>
    </w:p>
    <w:p w14:paraId="6A3C41C7" w14:textId="77777777" w:rsidR="00782130" w:rsidRDefault="00000000">
      <w:r>
        <w:rPr>
          <w:rFonts w:ascii="Arial" w:eastAsia="Arial" w:hAnsi="Arial" w:cs="Arial"/>
          <w:b/>
          <w:sz w:val="20"/>
        </w:rPr>
        <w:t>Physikalisch</w:t>
      </w:r>
    </w:p>
    <w:p w14:paraId="24B465E8" w14:textId="77777777" w:rsidR="00782130" w:rsidRDefault="00000000">
      <w:pPr>
        <w:tabs>
          <w:tab w:val="center" w:pos="3690"/>
          <w:tab w:val="center" w:pos="6775"/>
        </w:tabs>
      </w:pPr>
      <w:r>
        <w:rPr>
          <w:rFonts w:ascii="Arial" w:eastAsia="Arial" w:hAnsi="Arial" w:cs="Arial"/>
          <w:sz w:val="18"/>
        </w:rPr>
        <w:t>pH-Wert</w:t>
      </w:r>
      <w:r>
        <w:rPr>
          <w:rFonts w:ascii="Arial" w:eastAsia="Arial" w:hAnsi="Arial" w:cs="Arial"/>
          <w:sz w:val="18"/>
        </w:rPr>
        <w:tab/>
        <w:t>5,0 - 6,5</w:t>
      </w:r>
      <w:r>
        <w:rPr>
          <w:rFonts w:ascii="Arial" w:eastAsia="Arial" w:hAnsi="Arial" w:cs="Arial"/>
          <w:sz w:val="18"/>
        </w:rPr>
        <w:tab/>
        <w:t>VDLUFA C 8.2</w:t>
      </w:r>
    </w:p>
    <w:p w14:paraId="37B63D5D" w14:textId="77777777" w:rsidR="00782130" w:rsidRDefault="00000000">
      <w:pPr>
        <w:tabs>
          <w:tab w:val="center" w:pos="3760"/>
          <w:tab w:val="center" w:pos="6390"/>
        </w:tabs>
      </w:pPr>
      <w:r>
        <w:rPr>
          <w:rFonts w:ascii="Arial" w:eastAsia="Arial" w:hAnsi="Arial" w:cs="Arial"/>
          <w:sz w:val="18"/>
        </w:rPr>
        <w:t>Reinheit</w:t>
      </w:r>
      <w:r>
        <w:rPr>
          <w:rFonts w:ascii="Arial" w:eastAsia="Arial" w:hAnsi="Arial" w:cs="Arial"/>
          <w:sz w:val="18"/>
        </w:rPr>
        <w:tab/>
        <w:t>Disc A - B</w:t>
      </w:r>
      <w:r>
        <w:rPr>
          <w:rFonts w:ascii="Arial" w:eastAsia="Arial" w:hAnsi="Arial" w:cs="Arial"/>
          <w:sz w:val="18"/>
        </w:rPr>
        <w:tab/>
        <w:t>ADPI</w:t>
      </w:r>
    </w:p>
    <w:p w14:paraId="655CE895" w14:textId="77777777" w:rsidR="00782130" w:rsidRDefault="00000000">
      <w:r>
        <w:rPr>
          <w:rFonts w:ascii="Arial" w:eastAsia="Arial" w:hAnsi="Arial" w:cs="Arial"/>
          <w:b/>
          <w:sz w:val="20"/>
        </w:rPr>
        <w:t>Sensorik</w:t>
      </w:r>
    </w:p>
    <w:p w14:paraId="38538721" w14:textId="77777777" w:rsidR="00782130" w:rsidRDefault="00000000">
      <w:pPr>
        <w:tabs>
          <w:tab w:val="center" w:pos="3835"/>
          <w:tab w:val="center" w:pos="6975"/>
        </w:tabs>
      </w:pPr>
      <w:r>
        <w:rPr>
          <w:rFonts w:ascii="Arial" w:eastAsia="Arial" w:hAnsi="Arial" w:cs="Arial"/>
          <w:sz w:val="18"/>
        </w:rPr>
        <w:t>Farbe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cremeweiss</w:t>
      </w:r>
      <w:proofErr w:type="spellEnd"/>
      <w:r>
        <w:rPr>
          <w:rFonts w:ascii="Arial" w:eastAsia="Arial" w:hAnsi="Arial" w:cs="Arial"/>
          <w:sz w:val="18"/>
        </w:rPr>
        <w:tab/>
        <w:t>Visuelle Beurteilung</w:t>
      </w:r>
    </w:p>
    <w:p w14:paraId="7773BF26" w14:textId="77777777" w:rsidR="00782130" w:rsidRDefault="00000000">
      <w:pPr>
        <w:tabs>
          <w:tab w:val="center" w:pos="4545"/>
          <w:tab w:val="center" w:pos="7315"/>
        </w:tabs>
      </w:pPr>
      <w:r>
        <w:rPr>
          <w:rFonts w:ascii="Arial" w:eastAsia="Arial" w:hAnsi="Arial" w:cs="Arial"/>
          <w:sz w:val="18"/>
        </w:rPr>
        <w:t>Geruch</w:t>
      </w:r>
      <w:r>
        <w:rPr>
          <w:rFonts w:ascii="Arial" w:eastAsia="Arial" w:hAnsi="Arial" w:cs="Arial"/>
          <w:sz w:val="18"/>
        </w:rPr>
        <w:tab/>
        <w:t>typisch/ frei von Fremdgeruch</w:t>
      </w:r>
      <w:r>
        <w:rPr>
          <w:rFonts w:ascii="Arial" w:eastAsia="Arial" w:hAnsi="Arial" w:cs="Arial"/>
          <w:sz w:val="18"/>
        </w:rPr>
        <w:tab/>
        <w:t>Organoleptische Beurteilung</w:t>
      </w:r>
    </w:p>
    <w:p w14:paraId="2E78FD8E" w14:textId="77777777" w:rsidR="00782130" w:rsidRDefault="00000000">
      <w:pPr>
        <w:tabs>
          <w:tab w:val="center" w:pos="5905"/>
        </w:tabs>
      </w:pPr>
      <w:r>
        <w:rPr>
          <w:rFonts w:ascii="Arial" w:eastAsia="Arial" w:hAnsi="Arial" w:cs="Arial"/>
          <w:sz w:val="18"/>
        </w:rPr>
        <w:t>Geschmack</w:t>
      </w:r>
      <w:r>
        <w:rPr>
          <w:rFonts w:ascii="Arial" w:eastAsia="Arial" w:hAnsi="Arial" w:cs="Arial"/>
          <w:sz w:val="18"/>
        </w:rPr>
        <w:tab/>
        <w:t>typisch/ frei von Fremdgeschmack Organoleptische Beurteilung</w:t>
      </w:r>
    </w:p>
    <w:p w14:paraId="72A40806" w14:textId="77777777" w:rsidR="00782130" w:rsidRDefault="00000000">
      <w:r>
        <w:rPr>
          <w:rFonts w:ascii="Arial" w:eastAsia="Arial" w:hAnsi="Arial" w:cs="Arial"/>
          <w:b/>
          <w:sz w:val="20"/>
        </w:rPr>
        <w:t>Mikrobiologisch</w:t>
      </w:r>
    </w:p>
    <w:p w14:paraId="19D4CD69" w14:textId="77777777" w:rsidR="00782130" w:rsidRDefault="00000000">
      <w:pPr>
        <w:tabs>
          <w:tab w:val="center" w:pos="3713"/>
          <w:tab w:val="center" w:pos="6860"/>
        </w:tabs>
      </w:pPr>
      <w:r>
        <w:rPr>
          <w:rFonts w:ascii="Arial" w:eastAsia="Arial" w:hAnsi="Arial" w:cs="Arial"/>
          <w:sz w:val="18"/>
        </w:rPr>
        <w:t>Gesamtkeimzahl/g</w:t>
      </w:r>
      <w:r>
        <w:rPr>
          <w:rFonts w:ascii="Arial" w:eastAsia="Arial" w:hAnsi="Arial" w:cs="Arial"/>
          <w:sz w:val="18"/>
        </w:rPr>
        <w:tab/>
        <w:t>&lt; 30.000</w:t>
      </w:r>
      <w:r>
        <w:rPr>
          <w:rFonts w:ascii="Arial" w:eastAsia="Arial" w:hAnsi="Arial" w:cs="Arial"/>
          <w:sz w:val="18"/>
        </w:rPr>
        <w:tab/>
        <w:t>VDLUFA M 6.3.1</w:t>
      </w:r>
    </w:p>
    <w:p w14:paraId="13D8F91C" w14:textId="77777777" w:rsidR="00782130" w:rsidRDefault="00000000">
      <w:pPr>
        <w:tabs>
          <w:tab w:val="center" w:pos="3537"/>
          <w:tab w:val="center" w:pos="6860"/>
        </w:tabs>
      </w:pPr>
      <w:r>
        <w:rPr>
          <w:rFonts w:ascii="Arial" w:eastAsia="Arial" w:hAnsi="Arial" w:cs="Arial"/>
          <w:sz w:val="18"/>
        </w:rPr>
        <w:t>Hefen/g</w:t>
      </w:r>
      <w:r>
        <w:rPr>
          <w:rFonts w:ascii="Arial" w:eastAsia="Arial" w:hAnsi="Arial" w:cs="Arial"/>
          <w:sz w:val="18"/>
        </w:rPr>
        <w:tab/>
        <w:t>&lt; 50</w:t>
      </w:r>
      <w:r>
        <w:rPr>
          <w:rFonts w:ascii="Arial" w:eastAsia="Arial" w:hAnsi="Arial" w:cs="Arial"/>
          <w:sz w:val="18"/>
        </w:rPr>
        <w:tab/>
        <w:t>VDLUFA M 7.7.2</w:t>
      </w:r>
    </w:p>
    <w:p w14:paraId="05D950FC" w14:textId="77777777" w:rsidR="00782130" w:rsidRDefault="00000000">
      <w:pPr>
        <w:tabs>
          <w:tab w:val="center" w:pos="3537"/>
          <w:tab w:val="center" w:pos="6860"/>
        </w:tabs>
      </w:pPr>
      <w:r>
        <w:rPr>
          <w:rFonts w:ascii="Arial" w:eastAsia="Arial" w:hAnsi="Arial" w:cs="Arial"/>
          <w:sz w:val="18"/>
        </w:rPr>
        <w:t>Schimmel/g</w:t>
      </w:r>
      <w:r>
        <w:rPr>
          <w:rFonts w:ascii="Arial" w:eastAsia="Arial" w:hAnsi="Arial" w:cs="Arial"/>
          <w:sz w:val="18"/>
        </w:rPr>
        <w:tab/>
        <w:t>&lt; 50</w:t>
      </w:r>
      <w:r>
        <w:rPr>
          <w:rFonts w:ascii="Arial" w:eastAsia="Arial" w:hAnsi="Arial" w:cs="Arial"/>
          <w:sz w:val="18"/>
        </w:rPr>
        <w:tab/>
        <w:t>VDLUFA M 7.7.2</w:t>
      </w:r>
    </w:p>
    <w:p w14:paraId="7D0494A8" w14:textId="77777777" w:rsidR="00782130" w:rsidRPr="00594D01" w:rsidRDefault="00000000">
      <w:pPr>
        <w:tabs>
          <w:tab w:val="center" w:pos="3537"/>
          <w:tab w:val="center" w:pos="6860"/>
        </w:tabs>
        <w:rPr>
          <w:lang w:val="es-419"/>
        </w:rPr>
      </w:pPr>
      <w:r w:rsidRPr="00594D01">
        <w:rPr>
          <w:rFonts w:ascii="Arial" w:eastAsia="Arial" w:hAnsi="Arial" w:cs="Arial"/>
          <w:sz w:val="18"/>
          <w:lang w:val="es-419"/>
        </w:rPr>
        <w:t>Enterobacteriaceae/g</w:t>
      </w:r>
      <w:r w:rsidRPr="00594D01">
        <w:rPr>
          <w:rFonts w:ascii="Arial" w:eastAsia="Arial" w:hAnsi="Arial" w:cs="Arial"/>
          <w:sz w:val="18"/>
          <w:lang w:val="es-419"/>
        </w:rPr>
        <w:tab/>
        <w:t>&lt; 10</w:t>
      </w:r>
      <w:r w:rsidRPr="00594D01">
        <w:rPr>
          <w:rFonts w:ascii="Arial" w:eastAsia="Arial" w:hAnsi="Arial" w:cs="Arial"/>
          <w:sz w:val="18"/>
          <w:lang w:val="es-419"/>
        </w:rPr>
        <w:tab/>
        <w:t>VDLUFA M 7.4.2</w:t>
      </w:r>
    </w:p>
    <w:p w14:paraId="33C7EB51" w14:textId="77777777" w:rsidR="00782130" w:rsidRDefault="00000000">
      <w:pPr>
        <w:tabs>
          <w:tab w:val="center" w:pos="3535"/>
          <w:tab w:val="center" w:pos="6860"/>
        </w:tabs>
      </w:pPr>
      <w:r w:rsidRPr="00594D01">
        <w:rPr>
          <w:rFonts w:ascii="Arial" w:eastAsia="Arial" w:hAnsi="Arial" w:cs="Arial"/>
          <w:sz w:val="18"/>
          <w:lang w:val="es-419"/>
        </w:rPr>
        <w:t>Coliforme/0,1g</w:t>
      </w:r>
      <w:r w:rsidRPr="00594D01">
        <w:rPr>
          <w:rFonts w:ascii="Arial" w:eastAsia="Arial" w:hAnsi="Arial" w:cs="Arial"/>
          <w:sz w:val="18"/>
          <w:lang w:val="es-419"/>
        </w:rPr>
        <w:tab/>
        <w:t>neg.</w:t>
      </w:r>
      <w:r w:rsidRPr="00594D01">
        <w:rPr>
          <w:rFonts w:ascii="Arial" w:eastAsia="Arial" w:hAnsi="Arial" w:cs="Arial"/>
          <w:sz w:val="18"/>
          <w:lang w:val="es-419"/>
        </w:rPr>
        <w:tab/>
      </w:r>
      <w:r>
        <w:rPr>
          <w:rFonts w:ascii="Arial" w:eastAsia="Arial" w:hAnsi="Arial" w:cs="Arial"/>
          <w:sz w:val="18"/>
        </w:rPr>
        <w:t>VDLUFA M 7.2.3</w:t>
      </w:r>
    </w:p>
    <w:p w14:paraId="179B46B0" w14:textId="77777777" w:rsidR="00782130" w:rsidRDefault="00000000">
      <w:pPr>
        <w:tabs>
          <w:tab w:val="center" w:pos="3535"/>
          <w:tab w:val="center" w:pos="7230"/>
        </w:tabs>
      </w:pPr>
      <w:r>
        <w:rPr>
          <w:rFonts w:ascii="Arial" w:eastAsia="Arial" w:hAnsi="Arial" w:cs="Arial"/>
          <w:sz w:val="18"/>
        </w:rPr>
        <w:t>Salmonellen/25g</w:t>
      </w:r>
      <w:r>
        <w:rPr>
          <w:rFonts w:ascii="Arial" w:eastAsia="Arial" w:hAnsi="Arial" w:cs="Arial"/>
          <w:sz w:val="18"/>
        </w:rPr>
        <w:tab/>
        <w:t>neg.</w:t>
      </w:r>
      <w:r>
        <w:rPr>
          <w:rFonts w:ascii="Arial" w:eastAsia="Arial" w:hAnsi="Arial" w:cs="Arial"/>
          <w:sz w:val="18"/>
        </w:rPr>
        <w:tab/>
        <w:t>externes Labor/</w:t>
      </w:r>
      <w:proofErr w:type="gramStart"/>
      <w:r>
        <w:rPr>
          <w:rFonts w:ascii="Arial" w:eastAsia="Arial" w:hAnsi="Arial" w:cs="Arial"/>
          <w:sz w:val="18"/>
        </w:rPr>
        <w:t>jede Batch</w:t>
      </w:r>
      <w:proofErr w:type="gramEnd"/>
    </w:p>
    <w:p w14:paraId="3AF3939F" w14:textId="777777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Zutaten</w:t>
      </w:r>
    </w:p>
    <w:p w14:paraId="2D7311C1" w14:textId="77777777" w:rsidR="00782130" w:rsidRDefault="00000000">
      <w:pPr>
        <w:spacing w:after="377" w:line="265" w:lineRule="auto"/>
        <w:ind w:left="-5" w:hanging="10"/>
      </w:pPr>
      <w:r>
        <w:rPr>
          <w:rFonts w:ascii="Arial" w:eastAsia="Arial" w:hAnsi="Arial" w:cs="Arial"/>
          <w:sz w:val="18"/>
        </w:rPr>
        <w:t>Milcheiweiß</w:t>
      </w:r>
    </w:p>
    <w:p w14:paraId="327CEE88" w14:textId="777777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Verpackung</w:t>
      </w:r>
    </w:p>
    <w:p w14:paraId="7DD7B3F0" w14:textId="77777777" w:rsidR="00782130" w:rsidRDefault="00000000">
      <w:pPr>
        <w:spacing w:after="389" w:line="265" w:lineRule="auto"/>
        <w:ind w:left="-5" w:hanging="10"/>
      </w:pPr>
      <w:r>
        <w:rPr>
          <w:rFonts w:ascii="Arial" w:eastAsia="Arial" w:hAnsi="Arial" w:cs="Arial"/>
          <w:sz w:val="18"/>
        </w:rPr>
        <w:t>Big Bags oder 25 kg netto, in Papiersack mit blauem PE- Inliner</w:t>
      </w:r>
    </w:p>
    <w:p w14:paraId="571F0AE7" w14:textId="777777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Mindesthaltbarkeit</w:t>
      </w:r>
    </w:p>
    <w:p w14:paraId="35006AB2" w14:textId="40E37B3B" w:rsidR="00782130" w:rsidRDefault="00000000" w:rsidP="00594D01">
      <w:pPr>
        <w:spacing w:after="2328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24 Monate im </w:t>
      </w:r>
      <w:proofErr w:type="spellStart"/>
      <w:r>
        <w:rPr>
          <w:rFonts w:ascii="Arial" w:eastAsia="Arial" w:hAnsi="Arial" w:cs="Arial"/>
          <w:sz w:val="18"/>
        </w:rPr>
        <w:t>original</w:t>
      </w:r>
      <w:proofErr w:type="spellEnd"/>
      <w:r>
        <w:rPr>
          <w:rFonts w:ascii="Arial" w:eastAsia="Arial" w:hAnsi="Arial" w:cs="Arial"/>
          <w:sz w:val="18"/>
        </w:rPr>
        <w:t xml:space="preserve"> verschlossenen Gebinde unter kühler und trockener Lagerbedingung</w:t>
      </w:r>
      <w:r>
        <w:rPr>
          <w:rFonts w:ascii="Arial" w:eastAsia="Arial" w:hAnsi="Arial" w:cs="Arial"/>
          <w:sz w:val="16"/>
        </w:rPr>
        <w:tab/>
        <w:t>Seite 1 von 2</w:t>
      </w:r>
    </w:p>
    <w:p w14:paraId="6C0A0E32" w14:textId="777777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Stoffe oder Erzeugnisse, die Allergien oder Unverträglichkeiten auslösen (gemäß Verordnung (EU) Nr. </w:t>
      </w:r>
    </w:p>
    <w:p w14:paraId="58CF84B5" w14:textId="77777777" w:rsidR="00782130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1169/2011 Anhang II)</w:t>
      </w:r>
    </w:p>
    <w:p w14:paraId="2C22E700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Glutenhaltiges Getreide, sowie daraus hergestellte Erzeugnisse</w:t>
      </w:r>
      <w:r>
        <w:rPr>
          <w:rFonts w:ascii="Arial" w:eastAsia="Arial" w:hAnsi="Arial" w:cs="Arial"/>
          <w:sz w:val="18"/>
        </w:rPr>
        <w:tab/>
        <w:t>-</w:t>
      </w:r>
    </w:p>
    <w:p w14:paraId="5204BD45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Krebstiere und daraus gewonnene Erzeugnisse</w:t>
      </w:r>
      <w:r>
        <w:rPr>
          <w:rFonts w:ascii="Arial" w:eastAsia="Arial" w:hAnsi="Arial" w:cs="Arial"/>
          <w:sz w:val="18"/>
        </w:rPr>
        <w:tab/>
        <w:t>-</w:t>
      </w:r>
    </w:p>
    <w:p w14:paraId="1ADDEAD8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Eier und Eiererzeugnisse</w:t>
      </w:r>
      <w:r>
        <w:rPr>
          <w:rFonts w:ascii="Arial" w:eastAsia="Arial" w:hAnsi="Arial" w:cs="Arial"/>
          <w:sz w:val="18"/>
        </w:rPr>
        <w:tab/>
        <w:t>-</w:t>
      </w:r>
    </w:p>
    <w:p w14:paraId="4E870DBA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Fisch und Fischerzeugnisse</w:t>
      </w:r>
      <w:r>
        <w:rPr>
          <w:rFonts w:ascii="Arial" w:eastAsia="Arial" w:hAnsi="Arial" w:cs="Arial"/>
          <w:sz w:val="18"/>
        </w:rPr>
        <w:tab/>
        <w:t>-</w:t>
      </w:r>
    </w:p>
    <w:p w14:paraId="2E266752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Erdnüsse und Erdnusserzeugnisse</w:t>
      </w:r>
      <w:r>
        <w:rPr>
          <w:rFonts w:ascii="Arial" w:eastAsia="Arial" w:hAnsi="Arial" w:cs="Arial"/>
          <w:sz w:val="18"/>
        </w:rPr>
        <w:tab/>
        <w:t>-</w:t>
      </w:r>
    </w:p>
    <w:p w14:paraId="12568AF6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Soja und Sojaerzeugnisse</w:t>
      </w:r>
      <w:r>
        <w:rPr>
          <w:rFonts w:ascii="Arial" w:eastAsia="Arial" w:hAnsi="Arial" w:cs="Arial"/>
          <w:sz w:val="18"/>
        </w:rPr>
        <w:tab/>
        <w:t>-</w:t>
      </w:r>
    </w:p>
    <w:p w14:paraId="1D1DAE80" w14:textId="77777777" w:rsidR="00782130" w:rsidRDefault="00000000">
      <w:pPr>
        <w:tabs>
          <w:tab w:val="center" w:pos="9112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Milch und Milcherzeugnisse (einschließlich Laktose)</w:t>
      </w:r>
      <w:r>
        <w:rPr>
          <w:rFonts w:ascii="Arial" w:eastAsia="Arial" w:hAnsi="Arial" w:cs="Arial"/>
          <w:sz w:val="18"/>
        </w:rPr>
        <w:tab/>
        <w:t>+</w:t>
      </w:r>
    </w:p>
    <w:p w14:paraId="16BC21A5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Schalenfrüchte sowie daraus hergestellte Erzeugnisse</w:t>
      </w:r>
      <w:r>
        <w:rPr>
          <w:rFonts w:ascii="Arial" w:eastAsia="Arial" w:hAnsi="Arial" w:cs="Arial"/>
          <w:sz w:val="18"/>
        </w:rPr>
        <w:tab/>
        <w:t>-</w:t>
      </w:r>
    </w:p>
    <w:p w14:paraId="4A6372CF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Sellerie und daraus gewonnene Erzeugnisse</w:t>
      </w:r>
      <w:r>
        <w:rPr>
          <w:rFonts w:ascii="Arial" w:eastAsia="Arial" w:hAnsi="Arial" w:cs="Arial"/>
          <w:sz w:val="18"/>
        </w:rPr>
        <w:tab/>
        <w:t>-</w:t>
      </w:r>
    </w:p>
    <w:p w14:paraId="64384E0E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Senf und Senferzeugnisse</w:t>
      </w:r>
      <w:r>
        <w:rPr>
          <w:rFonts w:ascii="Arial" w:eastAsia="Arial" w:hAnsi="Arial" w:cs="Arial"/>
          <w:sz w:val="18"/>
        </w:rPr>
        <w:tab/>
        <w:t>-</w:t>
      </w:r>
    </w:p>
    <w:p w14:paraId="5F176DA3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Sesamsamen und Sesamsamenerzeugnisse</w:t>
      </w:r>
      <w:r>
        <w:rPr>
          <w:rFonts w:ascii="Arial" w:eastAsia="Arial" w:hAnsi="Arial" w:cs="Arial"/>
          <w:sz w:val="18"/>
        </w:rPr>
        <w:tab/>
        <w:t>-</w:t>
      </w:r>
    </w:p>
    <w:p w14:paraId="20D5FE67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 xml:space="preserve">Schwefeldioxid und </w:t>
      </w:r>
      <w:proofErr w:type="spellStart"/>
      <w:r>
        <w:rPr>
          <w:rFonts w:ascii="Arial" w:eastAsia="Arial" w:hAnsi="Arial" w:cs="Arial"/>
          <w:sz w:val="18"/>
        </w:rPr>
        <w:t>Sulphite</w:t>
      </w:r>
      <w:proofErr w:type="spellEnd"/>
      <w:r>
        <w:rPr>
          <w:rFonts w:ascii="Arial" w:eastAsia="Arial" w:hAnsi="Arial" w:cs="Arial"/>
          <w:sz w:val="18"/>
        </w:rPr>
        <w:t xml:space="preserve"> in Konzentrationen von mehr als 10 mg/kg oder 10 mg/</w:t>
      </w:r>
      <w:r>
        <w:rPr>
          <w:rFonts w:ascii="Arial" w:eastAsia="Arial" w:hAnsi="Arial" w:cs="Arial"/>
          <w:sz w:val="18"/>
        </w:rPr>
        <w:tab/>
        <w:t>-</w:t>
      </w:r>
    </w:p>
    <w:p w14:paraId="4C8D7661" w14:textId="77777777" w:rsidR="00782130" w:rsidRDefault="00000000">
      <w:pPr>
        <w:tabs>
          <w:tab w:val="center" w:pos="9090"/>
        </w:tabs>
        <w:spacing w:after="103" w:line="265" w:lineRule="auto"/>
        <w:ind w:left="-15"/>
      </w:pPr>
      <w:r>
        <w:rPr>
          <w:rFonts w:ascii="Arial" w:eastAsia="Arial" w:hAnsi="Arial" w:cs="Arial"/>
          <w:sz w:val="18"/>
        </w:rPr>
        <w:t>Lupine sowie daraus hergestellte Erzeugnisse</w:t>
      </w:r>
      <w:r>
        <w:rPr>
          <w:rFonts w:ascii="Arial" w:eastAsia="Arial" w:hAnsi="Arial" w:cs="Arial"/>
          <w:sz w:val="18"/>
        </w:rPr>
        <w:tab/>
        <w:t>-</w:t>
      </w:r>
    </w:p>
    <w:p w14:paraId="6A035395" w14:textId="77777777" w:rsidR="00782130" w:rsidRDefault="00000000">
      <w:pPr>
        <w:tabs>
          <w:tab w:val="center" w:pos="9090"/>
        </w:tabs>
        <w:spacing w:after="727" w:line="265" w:lineRule="auto"/>
        <w:ind w:left="-15"/>
      </w:pPr>
      <w:r>
        <w:rPr>
          <w:rFonts w:ascii="Arial" w:eastAsia="Arial" w:hAnsi="Arial" w:cs="Arial"/>
          <w:sz w:val="18"/>
        </w:rPr>
        <w:t>Weichtiere sowie daraus hergestellte Erzeugnisse</w:t>
      </w:r>
      <w:r>
        <w:rPr>
          <w:rFonts w:ascii="Arial" w:eastAsia="Arial" w:hAnsi="Arial" w:cs="Arial"/>
          <w:sz w:val="18"/>
        </w:rPr>
        <w:tab/>
        <w:t>-</w:t>
      </w:r>
    </w:p>
    <w:p w14:paraId="1CAA6DFF" w14:textId="77777777" w:rsidR="00782130" w:rsidRDefault="00000000">
      <w:pPr>
        <w:spacing w:after="78"/>
        <w:ind w:left="-5" w:hanging="10"/>
      </w:pPr>
      <w:proofErr w:type="gramStart"/>
      <w:r>
        <w:rPr>
          <w:rFonts w:ascii="Arial" w:eastAsia="Arial" w:hAnsi="Arial" w:cs="Arial"/>
          <w:b/>
          <w:sz w:val="20"/>
        </w:rPr>
        <w:t>GVO Status</w:t>
      </w:r>
      <w:proofErr w:type="gramEnd"/>
    </w:p>
    <w:p w14:paraId="514A9492" w14:textId="77777777" w:rsidR="00782130" w:rsidRDefault="00000000">
      <w:pPr>
        <w:spacing w:after="5833" w:line="359" w:lineRule="auto"/>
      </w:pPr>
      <w:r>
        <w:rPr>
          <w:rFonts w:ascii="Arial" w:eastAsia="Arial" w:hAnsi="Arial" w:cs="Arial"/>
          <w:sz w:val="18"/>
        </w:rPr>
        <w:t>Dieser Artikel besteht nicht aus genetisch veränderten Organismen (GVO), enthält keine GVO, ist nicht aus GVO hergestellt und enthält keine Zutaten/Zusatzstoffe, die aus GVO hergestellt werden. Das Produkt unterliegt somit keiner Kennzeichnungspflicht gemäß VO 1829/2003 EG bzw. VO 1830/2003 EG.</w:t>
      </w:r>
    </w:p>
    <w:p w14:paraId="6DDB482A" w14:textId="71FB5149" w:rsidR="00782130" w:rsidRDefault="00782130">
      <w:pPr>
        <w:spacing w:after="0" w:line="240" w:lineRule="auto"/>
        <w:ind w:right="3143"/>
      </w:pPr>
    </w:p>
    <w:sectPr w:rsidR="00782130">
      <w:pgSz w:w="11900" w:h="16840"/>
      <w:pgMar w:top="2335" w:right="647" w:bottom="5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30"/>
    <w:rsid w:val="00594D01"/>
    <w:rsid w:val="007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AFED"/>
  <w15:docId w15:val="{55076C0A-D89E-4E89-98B4-417869F0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Spezifikation</dc:title>
  <dc:subject/>
  <dc:creator>Hanno Hartmann</dc:creator>
  <cp:keywords/>
  <cp:lastModifiedBy>Hanno Hartmann</cp:lastModifiedBy>
  <cp:revision>2</cp:revision>
  <dcterms:created xsi:type="dcterms:W3CDTF">2022-09-23T14:00:00Z</dcterms:created>
  <dcterms:modified xsi:type="dcterms:W3CDTF">2022-09-23T14:00:00Z</dcterms:modified>
</cp:coreProperties>
</file>